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黑体" w:cs="Times New Roman"/>
          <w:sz w:val="32"/>
          <w:szCs w:val="22"/>
        </w:rPr>
      </w:pPr>
      <w:r>
        <w:rPr>
          <w:rFonts w:ascii="Times New Roman" w:hAnsi="Times New Roman" w:eastAsia="黑体" w:cs="Times New Roman"/>
          <w:sz w:val="32"/>
          <w:szCs w:val="22"/>
        </w:rPr>
        <w:t>附件1</w:t>
      </w:r>
    </w:p>
    <w:p>
      <w:pPr>
        <w:snapToGrid w:val="0"/>
        <w:jc w:val="center"/>
        <w:rPr>
          <w:rFonts w:ascii="Times New Roman" w:hAnsi="Times New Roman" w:eastAsia="方正小标宋_GBK" w:cs="Times New Roman"/>
          <w:sz w:val="44"/>
          <w:szCs w:val="22"/>
        </w:rPr>
      </w:pPr>
      <w:r>
        <w:rPr>
          <w:rFonts w:ascii="Times New Roman" w:hAnsi="Times New Roman" w:eastAsia="方正小标宋_GBK" w:cs="Times New Roman"/>
          <w:sz w:val="44"/>
          <w:szCs w:val="22"/>
        </w:rPr>
        <w:t>2019年度重庆市知识产权软科学研究项目</w:t>
      </w:r>
    </w:p>
    <w:p>
      <w:pPr>
        <w:snapToGrid w:val="0"/>
        <w:jc w:val="center"/>
        <w:rPr>
          <w:rFonts w:ascii="Times New Roman" w:hAnsi="Times New Roman" w:eastAsia="方正小标宋_GBK" w:cs="Times New Roman"/>
          <w:sz w:val="44"/>
          <w:szCs w:val="22"/>
        </w:rPr>
      </w:pPr>
      <w:r>
        <w:rPr>
          <w:rFonts w:ascii="Times New Roman" w:hAnsi="Times New Roman" w:eastAsia="方正小标宋_GBK" w:cs="Times New Roman"/>
          <w:sz w:val="44"/>
          <w:szCs w:val="22"/>
        </w:rPr>
        <w:t>申报指南</w:t>
      </w:r>
    </w:p>
    <w:p>
      <w:pPr>
        <w:spacing w:line="560" w:lineRule="exact"/>
        <w:rPr>
          <w:rFonts w:ascii="Times New Roman" w:hAnsi="Times New Roman" w:eastAsia="方正仿宋_GBK" w:cs="Times New Roman"/>
          <w:sz w:val="32"/>
          <w:szCs w:val="22"/>
        </w:rPr>
      </w:pPr>
    </w:p>
    <w:p>
      <w:pPr>
        <w:spacing w:line="560" w:lineRule="exact"/>
        <w:rPr>
          <w:rFonts w:ascii="Times New Roman" w:hAnsi="Times New Roman" w:eastAsia="方正黑体_GBK" w:cs="Times New Roman"/>
          <w:sz w:val="32"/>
          <w:szCs w:val="22"/>
        </w:rPr>
      </w:pPr>
      <w:r>
        <w:rPr>
          <w:rFonts w:ascii="Times New Roman" w:hAnsi="Times New Roman" w:eastAsia="方正黑体_GBK" w:cs="Times New Roman"/>
          <w:sz w:val="32"/>
          <w:szCs w:val="22"/>
        </w:rPr>
        <w:t xml:space="preserve">    一、重点研究方向</w:t>
      </w:r>
    </w:p>
    <w:p>
      <w:pPr>
        <w:spacing w:line="560" w:lineRule="exact"/>
        <w:ind w:firstLine="645"/>
        <w:rPr>
          <w:rFonts w:ascii="方正楷体_GBK" w:hAnsi="Times New Roman" w:eastAsia="方正楷体_GBK" w:cs="Times New Roman"/>
          <w:b/>
          <w:sz w:val="32"/>
          <w:szCs w:val="22"/>
        </w:rPr>
      </w:pPr>
      <w:r>
        <w:rPr>
          <w:rFonts w:hint="eastAsia" w:ascii="方正楷体_GBK" w:hAnsi="Times New Roman" w:eastAsia="方正楷体_GBK" w:cs="Times New Roman"/>
          <w:b/>
          <w:sz w:val="32"/>
          <w:szCs w:val="22"/>
        </w:rPr>
        <w:t>1. “十四五”重庆市知识产权发展战略研究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楷体_GBK" w:cs="Times New Roman"/>
          <w:sz w:val="32"/>
          <w:szCs w:val="22"/>
        </w:rPr>
        <w:t>研究内容</w:t>
      </w:r>
      <w:r>
        <w:rPr>
          <w:rFonts w:ascii="Times New Roman" w:hAnsi="Times New Roman" w:eastAsia="方正仿宋_GBK" w:cs="Times New Roman"/>
          <w:sz w:val="32"/>
          <w:szCs w:val="22"/>
        </w:rPr>
        <w:t>：</w:t>
      </w:r>
      <w:r>
        <w:rPr>
          <w:rFonts w:hint="eastAsia" w:ascii="方正仿宋_GBK" w:hAnsi="Times New Roman" w:eastAsia="方正仿宋_GBK" w:cs="Times New Roman"/>
          <w:sz w:val="32"/>
          <w:szCs w:val="22"/>
        </w:rPr>
        <w:t>梳理总结“十三五”重庆市知识产权事业发展成效及问题，厘清“十四五”重庆市知识产权事业创新发展需要深化解决的基础性问题，围绕问题研究形成“十四五”重庆市知识产权发展的宏观思路、主要目标及重点工作任务。</w:t>
      </w:r>
    </w:p>
    <w:p>
      <w:pPr>
        <w:spacing w:line="560" w:lineRule="exact"/>
        <w:ind w:firstLine="645"/>
        <w:rPr>
          <w:rFonts w:ascii="方正仿宋_GBK" w:hAnsi="Times New Roman" w:eastAsia="方正仿宋_GBK" w:cs="Times New Roman"/>
          <w:b/>
          <w:sz w:val="32"/>
          <w:szCs w:val="22"/>
        </w:rPr>
      </w:pPr>
      <w:r>
        <w:rPr>
          <w:rFonts w:hint="eastAsia" w:ascii="方正楷体_GBK" w:hAnsi="Times New Roman" w:eastAsia="方正楷体_GBK" w:cs="Times New Roman"/>
          <w:b/>
          <w:sz w:val="32"/>
          <w:szCs w:val="22"/>
        </w:rPr>
        <w:t>2. 知识产权证券化模式与路径研究——以重庆为例</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楷体_GBK" w:cs="Times New Roman"/>
          <w:sz w:val="32"/>
          <w:szCs w:val="22"/>
        </w:rPr>
        <w:t>研究内容</w:t>
      </w:r>
      <w:r>
        <w:rPr>
          <w:rFonts w:ascii="Times New Roman" w:hAnsi="Times New Roman" w:eastAsia="方正仿宋_GBK" w:cs="Times New Roman"/>
          <w:sz w:val="32"/>
          <w:szCs w:val="22"/>
        </w:rPr>
        <w:t>：</w:t>
      </w:r>
      <w:r>
        <w:rPr>
          <w:rFonts w:hint="eastAsia" w:ascii="方正仿宋_GBK" w:hAnsi="Times New Roman" w:eastAsia="方正仿宋_GBK" w:cs="Times New Roman"/>
          <w:sz w:val="32"/>
          <w:szCs w:val="22"/>
        </w:rPr>
        <w:t>梳理总结国内外推进知识产权证券化的典型做法和案例，对比先进省市推进证券化工作的探索，研究形成重庆推进知识产权证券化的政策推动、市场探索的政策措施，提出对策建设。</w:t>
      </w:r>
    </w:p>
    <w:p>
      <w:pPr>
        <w:spacing w:line="560" w:lineRule="exact"/>
        <w:ind w:firstLine="645"/>
        <w:rPr>
          <w:rFonts w:ascii="方正楷体_GBK" w:hAnsi="Times New Roman" w:eastAsia="方正楷体_GBK" w:cs="Times New Roman"/>
          <w:b/>
          <w:sz w:val="32"/>
          <w:szCs w:val="22"/>
        </w:rPr>
      </w:pPr>
      <w:r>
        <w:rPr>
          <w:rFonts w:ascii="方正楷体_GBK" w:hAnsi="Times New Roman" w:eastAsia="方正楷体_GBK" w:cs="Times New Roman"/>
          <w:b/>
          <w:sz w:val="32"/>
          <w:szCs w:val="22"/>
        </w:rPr>
        <w:t>3. 重庆市构建知识产权公共服务体系路径研究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楷体_GBK" w:cs="Times New Roman"/>
          <w:sz w:val="32"/>
          <w:szCs w:val="22"/>
        </w:rPr>
        <w:t>研究内容</w:t>
      </w:r>
      <w:r>
        <w:rPr>
          <w:rFonts w:ascii="Times New Roman" w:hAnsi="Times New Roman" w:eastAsia="方正仿宋_GBK" w:cs="Times New Roman"/>
          <w:sz w:val="32"/>
          <w:szCs w:val="22"/>
        </w:rPr>
        <w:t>：</w:t>
      </w:r>
      <w:r>
        <w:rPr>
          <w:rFonts w:hint="eastAsia" w:ascii="方正仿宋_GBK" w:hAnsi="Times New Roman" w:eastAsia="方正仿宋_GBK" w:cs="Times New Roman"/>
          <w:sz w:val="32"/>
          <w:szCs w:val="22"/>
        </w:rPr>
        <w:t>梳理发达国家和国内先进省市知识产权公共服务体系建设的有益经验，调研摸清全市知识产权公共服务基础和需求，研究提出“十四五”期间我市建设知识产权公共服务体系的对策和建议。</w:t>
      </w:r>
    </w:p>
    <w:p>
      <w:pPr>
        <w:spacing w:line="560" w:lineRule="exact"/>
        <w:ind w:firstLine="645"/>
        <w:rPr>
          <w:rFonts w:ascii="方正楷体_GBK" w:hAnsi="Times New Roman" w:eastAsia="方正楷体_GBK" w:cs="Times New Roman"/>
          <w:b/>
          <w:sz w:val="32"/>
          <w:szCs w:val="22"/>
        </w:rPr>
      </w:pPr>
      <w:r>
        <w:rPr>
          <w:rFonts w:hint="eastAsia" w:ascii="方正楷体_GBK" w:hAnsi="Times New Roman" w:eastAsia="方正楷体_GBK" w:cs="Times New Roman"/>
          <w:b/>
          <w:sz w:val="32"/>
          <w:szCs w:val="22"/>
        </w:rPr>
        <w:t>4．重庆市知识产权宣传普及与文化建设研究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楷体_GBK" w:cs="Times New Roman"/>
          <w:sz w:val="32"/>
          <w:szCs w:val="22"/>
        </w:rPr>
        <w:t>研究内容</w:t>
      </w:r>
      <w:r>
        <w:rPr>
          <w:rFonts w:ascii="Times New Roman" w:hAnsi="Times New Roman" w:eastAsia="方正仿宋_GBK" w:cs="Times New Roman"/>
          <w:sz w:val="32"/>
          <w:szCs w:val="22"/>
        </w:rPr>
        <w:t>：</w:t>
      </w:r>
      <w:r>
        <w:rPr>
          <w:rFonts w:hint="eastAsia" w:ascii="方正仿宋_GBK" w:hAnsi="Times New Roman" w:eastAsia="方正仿宋_GBK" w:cs="Times New Roman"/>
          <w:sz w:val="32"/>
          <w:szCs w:val="22"/>
        </w:rPr>
        <w:t>梳理总结国内外知识产权宣传普及与文化建设的典型案例及经验，分析重庆市知识产权宣传普及现状及问题、知识产权发展历史脉络和文化内涵，研究重庆市新时代知识产权宣传普及与文化建设的思路、目标、重点与对策建议。</w:t>
      </w:r>
    </w:p>
    <w:p>
      <w:pPr>
        <w:spacing w:line="560" w:lineRule="exact"/>
        <w:ind w:firstLine="800" w:firstLineChars="250"/>
        <w:rPr>
          <w:rFonts w:ascii="Times New Roman" w:hAnsi="Times New Roman" w:eastAsia="方正黑体_GBK" w:cs="Times New Roman"/>
          <w:sz w:val="32"/>
          <w:szCs w:val="22"/>
        </w:rPr>
      </w:pPr>
      <w:r>
        <w:rPr>
          <w:rFonts w:ascii="Times New Roman" w:hAnsi="Times New Roman" w:eastAsia="方正黑体_GBK" w:cs="Times New Roman"/>
          <w:sz w:val="32"/>
          <w:szCs w:val="22"/>
        </w:rPr>
        <w:t>二、面上研究方向</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1. 知识产权助推经济高质量发展政策举措研究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2. 知识产权强区强县建设研究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3. 重庆市知识产权</w:t>
      </w:r>
      <w:r>
        <w:rPr>
          <w:rFonts w:hint="eastAsia" w:ascii="Times New Roman" w:hAnsi="Times New Roman" w:eastAsia="方正仿宋_GBK" w:cs="Times New Roman"/>
          <w:sz w:val="32"/>
          <w:szCs w:val="22"/>
        </w:rPr>
        <w:t>地方性法规基础</w:t>
      </w:r>
      <w:r>
        <w:rPr>
          <w:rFonts w:ascii="Times New Roman" w:hAnsi="Times New Roman" w:eastAsia="方正仿宋_GBK" w:cs="Times New Roman"/>
          <w:sz w:val="32"/>
          <w:szCs w:val="22"/>
        </w:rPr>
        <w:t>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4. 新形势下知识产权服务技术创新模式研究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5. 新领域、新业态、新模式创新成果知识产权保护研究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6. 知识产权</w:t>
      </w:r>
      <w:r>
        <w:rPr>
          <w:rFonts w:hint="eastAsia" w:ascii="Times New Roman" w:hAnsi="Times New Roman" w:eastAsia="方正仿宋_GBK" w:cs="Times New Roman"/>
          <w:sz w:val="32"/>
          <w:szCs w:val="22"/>
        </w:rPr>
        <w:t>保护</w:t>
      </w:r>
      <w:r>
        <w:rPr>
          <w:rFonts w:ascii="Times New Roman" w:hAnsi="Times New Roman" w:eastAsia="方正仿宋_GBK" w:cs="Times New Roman"/>
          <w:sz w:val="32"/>
          <w:szCs w:val="22"/>
        </w:rPr>
        <w:t>实务问题研究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7. 基于知识价值信用贷款模式的知识产权金融产品创新路径及可行性研究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8. 运用知识产权大数据支撑专利导航产业发展机制与模式研究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 xml:space="preserve">9. </w:t>
      </w:r>
      <w:r>
        <w:rPr>
          <w:rFonts w:hint="eastAsia" w:ascii="Times New Roman" w:hAnsi="Times New Roman" w:eastAsia="方正仿宋_GBK" w:cs="Times New Roman"/>
          <w:sz w:val="32"/>
          <w:szCs w:val="22"/>
        </w:rPr>
        <w:t>基于</w:t>
      </w:r>
      <w:r>
        <w:rPr>
          <w:rFonts w:ascii="Times New Roman" w:hAnsi="Times New Roman" w:eastAsia="方正仿宋_GBK" w:cs="Times New Roman"/>
          <w:sz w:val="32"/>
          <w:szCs w:val="22"/>
        </w:rPr>
        <w:t>专利标准化体系下的知识产权创造</w:t>
      </w:r>
      <w:r>
        <w:rPr>
          <w:rFonts w:hint="eastAsia" w:ascii="Times New Roman" w:hAnsi="Times New Roman" w:eastAsia="方正仿宋_GBK" w:cs="Times New Roman"/>
          <w:sz w:val="32"/>
          <w:szCs w:val="22"/>
        </w:rPr>
        <w:t>运用</w:t>
      </w:r>
      <w:r>
        <w:rPr>
          <w:rFonts w:ascii="Times New Roman" w:hAnsi="Times New Roman" w:eastAsia="方正仿宋_GBK" w:cs="Times New Roman"/>
          <w:sz w:val="32"/>
          <w:szCs w:val="22"/>
        </w:rPr>
        <w:t>路径研究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10. 国防专利在渝转化运用模式机制研究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11. 运用商标品牌和地理标志精准扶贫研究</w:t>
      </w:r>
    </w:p>
    <w:p>
      <w:pPr>
        <w:spacing w:line="560" w:lineRule="exact"/>
        <w:ind w:firstLine="645"/>
        <w:rPr>
          <w:rFonts w:ascii="方正仿宋_GBK" w:hAnsi="Times New Roman" w:eastAsia="方正仿宋_GBK" w:cs="Times New Roman"/>
          <w:sz w:val="32"/>
          <w:szCs w:val="22"/>
        </w:rPr>
      </w:pPr>
      <w:r>
        <w:rPr>
          <w:rFonts w:hint="eastAsia" w:ascii="方正仿宋_GBK" w:hAnsi="Times New Roman" w:eastAsia="方正仿宋_GBK" w:cs="Times New Roman"/>
          <w:sz w:val="32"/>
          <w:szCs w:val="22"/>
        </w:rPr>
        <w:t>1</w:t>
      </w:r>
      <w:r>
        <w:rPr>
          <w:rFonts w:ascii="方正仿宋_GBK" w:hAnsi="Times New Roman" w:eastAsia="方正仿宋_GBK" w:cs="Times New Roman"/>
          <w:sz w:val="32"/>
          <w:szCs w:val="22"/>
        </w:rPr>
        <w:t>2</w:t>
      </w:r>
      <w:r>
        <w:rPr>
          <w:rFonts w:hint="eastAsia" w:ascii="方正仿宋_GBK" w:hAnsi="Times New Roman" w:eastAsia="方正仿宋_GBK" w:cs="Times New Roman"/>
          <w:sz w:val="32"/>
          <w:szCs w:val="22"/>
        </w:rPr>
        <w:t>. 深化知识产权领域“放管服”改革研究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13. 知识产权服务机构发展与监管模式研究</w:t>
      </w:r>
    </w:p>
    <w:p>
      <w:pPr>
        <w:spacing w:line="560" w:lineRule="exact"/>
        <w:ind w:firstLine="645"/>
        <w:rPr>
          <w:rFonts w:ascii="Times New Roman" w:hAnsi="Times New Roman" w:eastAsia="方正仿宋_GBK" w:cs="Times New Roman"/>
          <w:sz w:val="32"/>
          <w:szCs w:val="22"/>
        </w:rPr>
      </w:pPr>
      <w:r>
        <w:rPr>
          <w:rFonts w:ascii="Times New Roman" w:hAnsi="Times New Roman" w:eastAsia="方正仿宋_GBK" w:cs="Times New Roman"/>
          <w:sz w:val="32"/>
          <w:szCs w:val="22"/>
        </w:rPr>
        <w:t>14. 知识产权人才培养实务研究</w:t>
      </w:r>
    </w:p>
    <w:p>
      <w:pPr>
        <w:spacing w:line="560" w:lineRule="exact"/>
        <w:ind w:firstLine="645"/>
        <w:rPr>
          <w:rFonts w:ascii="Times New Roman" w:hAnsi="Times New Roman" w:eastAsia="方正楷体_GBK" w:cs="Times New Roman"/>
          <w:sz w:val="32"/>
          <w:szCs w:val="22"/>
        </w:rPr>
      </w:pPr>
      <w:r>
        <w:rPr>
          <w:rFonts w:ascii="Times New Roman" w:hAnsi="Times New Roman" w:eastAsia="方正仿宋_GBK" w:cs="Times New Roman"/>
          <w:sz w:val="32"/>
          <w:szCs w:val="22"/>
        </w:rPr>
        <w:t xml:space="preserve">15. </w:t>
      </w:r>
      <w:r>
        <w:rPr>
          <w:rFonts w:hint="eastAsia" w:ascii="方正仿宋_GBK" w:hAnsi="Times New Roman" w:eastAsia="方正仿宋_GBK" w:cs="Times New Roman"/>
          <w:sz w:val="32"/>
          <w:szCs w:val="22"/>
        </w:rPr>
        <w:t>加强重庆市与“一带一路”沿线国家和地区知识产权合作研究</w:t>
      </w:r>
    </w:p>
    <w:p>
      <w:pPr>
        <w:jc w:val="left"/>
        <w:rPr>
          <w:rFonts w:ascii="方正仿宋_GBK" w:eastAsia="方正仿宋_GBK"/>
          <w:sz w:val="32"/>
        </w:rPr>
        <w:sectPr>
          <w:pgSz w:w="11906" w:h="16838"/>
          <w:pgMar w:top="1985" w:right="1531" w:bottom="1644" w:left="1531" w:header="851" w:footer="992" w:gutter="0"/>
          <w:cols w:space="425"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F7A7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2019-11-12T02:44:09Z</dcterms:created>
  <dc:creator>pc</dc:creator>
  <cp:lastModifiedBy>呀</cp:lastModifiedBy>
  <dcterms:modified xsi:type="dcterms:W3CDTF">2019-11-12T02:45:30Z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