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ascii="方正小标宋_GBK" w:hAnsi="方正小标宋_GBK" w:eastAsia="方正小标宋_GBK" w:cs="方正小标宋_GBK"/>
          <w:i w:val="0"/>
          <w:caps w:val="0"/>
          <w:color w:val="212121"/>
          <w:spacing w:val="-28"/>
          <w:kern w:val="0"/>
          <w:sz w:val="44"/>
          <w:szCs w:val="44"/>
          <w:shd w:val="clear" w:fill="FFFFFF"/>
          <w:lang w:val="en-US" w:eastAsia="zh-CN" w:bidi="ar"/>
        </w:rPr>
        <w:t>重庆市教育科学“十三五”规划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212121"/>
          <w:spacing w:val="-28"/>
          <w:kern w:val="0"/>
          <w:sz w:val="44"/>
          <w:szCs w:val="44"/>
          <w:shd w:val="clear" w:fill="FFFFFF"/>
          <w:lang w:val="en-US" w:eastAsia="zh-CN" w:bidi="ar"/>
        </w:rPr>
        <w:t>2020年度重点课题指南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right="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bookmarkStart w:id="1" w:name="_GoBack"/>
      <w:bookmarkEnd w:id="1"/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重庆市教育科学“十三五”规划2020年度重点课题指南分为六大研究领域，申报者结合研究专长和基础进行研究题目的拟定。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ascii="方正黑体_GBK" w:hAnsi="方正黑体_GBK" w:eastAsia="方正黑体_GBK" w:cs="方正黑体_GBK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一、学前教育研究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1.学前教育优质教育资源建设研究；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2.重庆市普惠性幼儿园发展研究；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二、义务教育研究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3.重庆市义务教育质量提升研究；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4.重庆市中小学创新教育研究；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5.城乡义务教育均衡优质发展研究；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6.中小学优化教学方式深化课堂教学改革研究；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7.义务教育减负提质的实践研究；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8.中小学素质教育研究；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9.新时代中小学家校共育研究；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10.新法新政背景下民办义务教育学校规范发展研究；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三、高中教育研究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11.新时代普通高中育人方式改革研究；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12.新时代普通高中新课程新教材实施研究；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13.普通高中校本课程实践研究；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14.新高考改革背景下教育教学改革的实践研究；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四、职业教育研究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15.中等职业教育“三教”改革研究；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16.中职院校公共基础课程改革研究；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1278" w:right="0" w:hanging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17.“1+X”证书制度下中等职业教育人才培养模式改革研究；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18.乡村振兴背景下农村职业院校改革研究；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19.职业院校特色专业（群）实践研究；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20.高职学校学前教育专业质量监控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研究</w:t>
      </w: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21.职业教育质量保障与评价研究；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22.现代职业教育国家资历框架和学分银行实践研究；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五、高等教育研究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23.师范生实践基地与建设质量标准研究；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1278" w:right="0" w:hanging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24.新时代“双一流”建设绩效评估指标体系研究；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25.重庆市学士学位授权审核指标体系研究；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26.人工智能+学科群建设的创新研究；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27.独立学院转设后高质量发展研究；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28.普通高校创新创业与就业指导研究；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29.高等学校课程教学改革研究；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2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30.</w:t>
      </w: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高等学校思想政治教育研究；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6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bookmarkStart w:id="0" w:name="bookmark19"/>
      <w:bookmarkEnd w:id="0"/>
      <w:r>
        <w:rPr>
          <w:rFonts w:hint="eastAsia" w:ascii="方正黑体_GBK" w:hAnsi="方正黑体_GBK" w:eastAsia="方正黑体_GBK" w:cs="方正黑体_GBK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六、综合研究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31.“一区两群”教育协调发展研究；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32.成渝城市群教育一体化发展研究；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33.人工智能+教育实践研究；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34.教育业务与教育经费预算执行深度融合研究；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35.教育审计整改与信息化研究；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36.教育防贫机制研究；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37.教育督导评估研究；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38.青少年积极心理支持服务系统研究；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39.新时代教育系统社会团体创新管理研究；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40.教育培训市场治理研究；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41.教研转型与质量提升研究；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42.新时代大中小幼德育一体化与德育工作实践研究；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43.中小学教师评价指标体系研究；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44.新时代劳动教育实践研究；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45.新时代中华传统文化教育实践研究；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46.新时代五育并举实践研究；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47.新时代中小学爱国主义教育研究；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48.新时代美好生活教育实践研究；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caps w:val="0"/>
          <w:color w:val="212121"/>
          <w:spacing w:val="0"/>
          <w:sz w:val="16"/>
          <w:szCs w:val="16"/>
        </w:rPr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49.线上教育创新模式的研究与实践；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600" w:lineRule="atLeast"/>
        <w:ind w:left="0" w:right="0" w:firstLine="640"/>
        <w:jc w:val="left"/>
      </w:pPr>
      <w:r>
        <w:rPr>
          <w:rFonts w:hint="default" w:ascii="仿宋_GB2312" w:hAnsi="微软雅黑" w:eastAsia="仿宋_GB2312" w:cs="仿宋_GB2312"/>
          <w:i w:val="0"/>
          <w:caps w:val="0"/>
          <w:color w:val="212121"/>
          <w:spacing w:val="0"/>
          <w:kern w:val="0"/>
          <w:sz w:val="32"/>
          <w:szCs w:val="32"/>
          <w:shd w:val="clear" w:fill="FFFFFF"/>
          <w:lang w:val="en-US" w:eastAsia="zh-CN" w:bidi="ar"/>
        </w:rPr>
        <w:t>50.教育现代化2035背景下学校智慧校园建设研究。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208DA"/>
    <w:rsid w:val="65B2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2020-03-06T02:25:00Z</dcterms:created>
  <dc:creator>玫明欢</dc:creator>
  <cp:lastModifiedBy>玫明欢</cp:lastModifiedBy>
  <dcterms:modified xsi:type="dcterms:W3CDTF">2020-03-06T02:26:31Z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